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60"/>
      </w:tblGrid>
      <w:tr w:rsidR="003744EA" w:rsidRPr="003744EA" w14:paraId="652CBFB4" w14:textId="77777777" w:rsidTr="003744EA">
        <w:trPr>
          <w:trHeight w:val="1755"/>
        </w:trPr>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3744EA" w:rsidRPr="003744EA" w14:paraId="56CB6BC3" w14:textId="77777777">
              <w:tc>
                <w:tcPr>
                  <w:tcW w:w="0" w:type="auto"/>
                  <w:tcMar>
                    <w:top w:w="0" w:type="dxa"/>
                    <w:left w:w="135" w:type="dxa"/>
                    <w:bottom w:w="0" w:type="dxa"/>
                    <w:right w:w="135" w:type="dxa"/>
                  </w:tcMar>
                  <w:hideMark/>
                </w:tcPr>
                <w:p w14:paraId="3A3322D0" w14:textId="39B97693" w:rsidR="003744EA" w:rsidRPr="003744EA" w:rsidRDefault="003744EA" w:rsidP="003744EA">
                  <w:pPr>
                    <w:jc w:val="center"/>
                    <w:rPr>
                      <w:rFonts w:ascii="Times New Roman" w:eastAsia="Times New Roman" w:hAnsi="Times New Roman" w:cs="Times New Roman"/>
                      <w:sz w:val="24"/>
                      <w:szCs w:val="24"/>
                    </w:rPr>
                  </w:pPr>
                  <w:r w:rsidRPr="003744EA">
                    <w:rPr>
                      <w:rFonts w:ascii="Times New Roman" w:eastAsia="Times New Roman" w:hAnsi="Times New Roman" w:cs="Times New Roman"/>
                      <w:noProof/>
                      <w:sz w:val="24"/>
                      <w:szCs w:val="24"/>
                    </w:rPr>
                    <w:drawing>
                      <wp:inline distT="0" distB="0" distL="0" distR="0" wp14:anchorId="5FD0D66D" wp14:editId="21A7B437">
                        <wp:extent cx="5372100" cy="1390650"/>
                        <wp:effectExtent l="0" t="0" r="0" b="0"/>
                        <wp:docPr id="2" name="Picture 2" descr="https://gallery.mailchimp.com/bee6c0c71057ae7a960e91d44/images/00e9a6be-c9fc-41ea-b44b-e7642e919e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bee6c0c71057ae7a960e91d44/images/00e9a6be-c9fc-41ea-b44b-e7642e919ed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2100" cy="1390650"/>
                                </a:xfrm>
                                <a:prstGeom prst="rect">
                                  <a:avLst/>
                                </a:prstGeom>
                                <a:noFill/>
                                <a:ln>
                                  <a:noFill/>
                                </a:ln>
                              </pic:spPr>
                            </pic:pic>
                          </a:graphicData>
                        </a:graphic>
                      </wp:inline>
                    </w:drawing>
                  </w:r>
                </w:p>
              </w:tc>
            </w:tr>
          </w:tbl>
          <w:p w14:paraId="54F20EC0" w14:textId="77777777" w:rsidR="003744EA" w:rsidRPr="003744EA" w:rsidRDefault="003744EA" w:rsidP="003744EA">
            <w:pPr>
              <w:rPr>
                <w:rFonts w:ascii="Times New Roman" w:eastAsia="Times New Roman" w:hAnsi="Times New Roman" w:cs="Times New Roman"/>
                <w:color w:val="000000"/>
                <w:sz w:val="27"/>
                <w:szCs w:val="27"/>
              </w:rPr>
            </w:pPr>
          </w:p>
        </w:tc>
      </w:tr>
      <w:tr w:rsidR="003744EA" w:rsidRPr="003744EA" w14:paraId="7B04CB6E" w14:textId="77777777" w:rsidTr="003744E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744EA" w:rsidRPr="003744EA" w14:paraId="50620A61" w14:textId="77777777">
              <w:tc>
                <w:tcPr>
                  <w:tcW w:w="0" w:type="auto"/>
                  <w:tcMar>
                    <w:top w:w="0" w:type="dxa"/>
                    <w:left w:w="270" w:type="dxa"/>
                    <w:bottom w:w="135" w:type="dxa"/>
                    <w:right w:w="270" w:type="dxa"/>
                  </w:tcMar>
                  <w:hideMark/>
                </w:tcPr>
                <w:p w14:paraId="5DCA72AC" w14:textId="77777777" w:rsidR="003744EA" w:rsidRPr="003744EA" w:rsidRDefault="003744EA" w:rsidP="003744EA">
                  <w:pPr>
                    <w:spacing w:line="300" w:lineRule="atLeast"/>
                    <w:jc w:val="center"/>
                    <w:rPr>
                      <w:rFonts w:ascii="Helvetica" w:eastAsia="Times New Roman" w:hAnsi="Helvetica" w:cs="Helvetica"/>
                      <w:color w:val="202020"/>
                      <w:sz w:val="24"/>
                      <w:szCs w:val="24"/>
                    </w:rPr>
                  </w:pPr>
                  <w:r w:rsidRPr="003744EA">
                    <w:rPr>
                      <w:rFonts w:ascii="Helvetica" w:eastAsia="Times New Roman" w:hAnsi="Helvetica" w:cs="Helvetica"/>
                      <w:color w:val="202020"/>
                      <w:sz w:val="24"/>
                      <w:szCs w:val="24"/>
                    </w:rPr>
                    <w:pict w14:anchorId="69BEF23B">
                      <v:rect id="_x0000_i1030" style="width:0;height:1.5pt" o:hralign="center" o:hrstd="t" o:hr="t" fillcolor="#a0a0a0" stroked="f"/>
                    </w:pict>
                  </w:r>
                </w:p>
                <w:p w14:paraId="3A9E0AED" w14:textId="77777777" w:rsidR="003744EA" w:rsidRPr="003744EA" w:rsidRDefault="003744EA" w:rsidP="003744EA">
                  <w:pPr>
                    <w:spacing w:line="300" w:lineRule="atLeast"/>
                    <w:jc w:val="center"/>
                    <w:rPr>
                      <w:rFonts w:ascii="Helvetica" w:eastAsia="Times New Roman" w:hAnsi="Helvetica" w:cs="Helvetica"/>
                      <w:color w:val="202020"/>
                      <w:sz w:val="24"/>
                      <w:szCs w:val="24"/>
                    </w:rPr>
                  </w:pPr>
                  <w:r w:rsidRPr="003744EA">
                    <w:rPr>
                      <w:rFonts w:ascii="Arial" w:eastAsia="Times New Roman" w:hAnsi="Arial" w:cs="Arial"/>
                      <w:b/>
                      <w:bCs/>
                      <w:color w:val="202020"/>
                      <w:sz w:val="21"/>
                      <w:szCs w:val="21"/>
                    </w:rPr>
                    <w:t>Welcome to the BioCelerate newsletter, where we share brief, relevant updates on our initiatives and upcoming events to our extended community. </w:t>
                  </w:r>
                </w:p>
                <w:p w14:paraId="5C15EE41" w14:textId="77777777" w:rsidR="003744EA" w:rsidRPr="003744EA" w:rsidRDefault="003744EA" w:rsidP="003744EA">
                  <w:pPr>
                    <w:spacing w:line="300" w:lineRule="atLeast"/>
                    <w:jc w:val="center"/>
                    <w:rPr>
                      <w:rFonts w:ascii="Helvetica" w:eastAsia="Times New Roman" w:hAnsi="Helvetica" w:cs="Helvetica"/>
                      <w:color w:val="202020"/>
                      <w:sz w:val="24"/>
                      <w:szCs w:val="24"/>
                    </w:rPr>
                  </w:pPr>
                  <w:r w:rsidRPr="003744EA">
                    <w:rPr>
                      <w:rFonts w:ascii="Helvetica" w:eastAsia="Times New Roman" w:hAnsi="Helvetica" w:cs="Helvetica"/>
                      <w:color w:val="202020"/>
                      <w:sz w:val="24"/>
                      <w:szCs w:val="24"/>
                    </w:rPr>
                    <w:pict w14:anchorId="5D5FAB15">
                      <v:rect id="_x0000_i1031" style="width:0;height:1.5pt" o:hralign="center" o:hrstd="t" o:hr="t" fillcolor="#a0a0a0" stroked="f"/>
                    </w:pict>
                  </w:r>
                </w:p>
              </w:tc>
            </w:tr>
          </w:tbl>
          <w:p w14:paraId="5C35121D" w14:textId="77777777" w:rsidR="003744EA" w:rsidRPr="003744EA" w:rsidRDefault="003744EA" w:rsidP="003744EA">
            <w:pPr>
              <w:rPr>
                <w:rFonts w:ascii="Times New Roman" w:eastAsia="Times New Roman" w:hAnsi="Times New Roman" w:cs="Times New Roman"/>
                <w:color w:val="000000"/>
                <w:sz w:val="27"/>
                <w:szCs w:val="27"/>
              </w:rPr>
            </w:pPr>
          </w:p>
        </w:tc>
      </w:tr>
      <w:tr w:rsidR="003744EA" w:rsidRPr="003744EA" w14:paraId="03610A73" w14:textId="77777777" w:rsidTr="003744EA">
        <w:tc>
          <w:tcPr>
            <w:tcW w:w="0" w:type="auto"/>
            <w:tcMar>
              <w:top w:w="135" w:type="dxa"/>
              <w:left w:w="0" w:type="dxa"/>
              <w:bottom w:w="0" w:type="dxa"/>
              <w:right w:w="0" w:type="dxa"/>
            </w:tcMar>
            <w:hideMark/>
          </w:tcPr>
          <w:p w14:paraId="36F0D582" w14:textId="77777777" w:rsidR="003744EA" w:rsidRDefault="003744EA"/>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744EA" w:rsidRPr="003744EA" w14:paraId="4A7DC21B" w14:textId="77777777">
              <w:tc>
                <w:tcPr>
                  <w:tcW w:w="0" w:type="auto"/>
                  <w:tcMar>
                    <w:top w:w="0" w:type="dxa"/>
                    <w:left w:w="270" w:type="dxa"/>
                    <w:bottom w:w="135" w:type="dxa"/>
                    <w:right w:w="270" w:type="dxa"/>
                  </w:tcMar>
                  <w:hideMark/>
                </w:tcPr>
                <w:p w14:paraId="6C887858" w14:textId="77777777" w:rsidR="003744EA" w:rsidRPr="003744EA" w:rsidRDefault="003744EA" w:rsidP="003744EA">
                  <w:pPr>
                    <w:spacing w:line="240" w:lineRule="atLeast"/>
                    <w:rPr>
                      <w:rFonts w:ascii="Helvetica" w:eastAsia="Times New Roman" w:hAnsi="Helvetica" w:cs="Helvetica"/>
                      <w:color w:val="202020"/>
                      <w:sz w:val="24"/>
                      <w:szCs w:val="24"/>
                    </w:rPr>
                  </w:pPr>
                  <w:r w:rsidRPr="003744EA">
                    <w:rPr>
                      <w:rFonts w:ascii="Helvetica" w:eastAsia="Times New Roman" w:hAnsi="Helvetica" w:cs="Helvetica"/>
                      <w:b/>
                      <w:bCs/>
                      <w:color w:val="FF8C00"/>
                      <w:sz w:val="27"/>
                      <w:szCs w:val="27"/>
                    </w:rPr>
                    <w:t>Latest Updates</w:t>
                  </w:r>
                </w:p>
              </w:tc>
            </w:tr>
          </w:tbl>
          <w:p w14:paraId="558C5335" w14:textId="77777777" w:rsidR="003744EA" w:rsidRPr="003744EA" w:rsidRDefault="003744EA" w:rsidP="003744EA">
            <w:pPr>
              <w:rPr>
                <w:rFonts w:ascii="Times New Roman" w:eastAsia="Times New Roman" w:hAnsi="Times New Roman" w:cs="Times New Roman"/>
                <w:color w:val="000000"/>
                <w:sz w:val="27"/>
                <w:szCs w:val="27"/>
              </w:rPr>
            </w:pPr>
          </w:p>
        </w:tc>
      </w:tr>
      <w:tr w:rsidR="003744EA" w:rsidRPr="003744EA" w14:paraId="3A7FF962" w14:textId="77777777" w:rsidTr="003744E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744EA" w:rsidRPr="003744EA" w14:paraId="3E08A5D1" w14:textId="77777777">
              <w:tc>
                <w:tcPr>
                  <w:tcW w:w="0" w:type="auto"/>
                  <w:tcMar>
                    <w:top w:w="0" w:type="dxa"/>
                    <w:left w:w="270" w:type="dxa"/>
                    <w:bottom w:w="135" w:type="dxa"/>
                    <w:right w:w="270" w:type="dxa"/>
                  </w:tcMar>
                  <w:hideMark/>
                </w:tcPr>
                <w:p w14:paraId="26FAC82F" w14:textId="70ABD2CF" w:rsidR="003744EA" w:rsidRPr="003744EA" w:rsidRDefault="003744EA" w:rsidP="003744EA">
                  <w:pPr>
                    <w:spacing w:line="300" w:lineRule="atLeast"/>
                    <w:rPr>
                      <w:rFonts w:ascii="Helvetica" w:eastAsia="Times New Roman" w:hAnsi="Helvetica" w:cs="Helvetica"/>
                      <w:color w:val="202020"/>
                      <w:sz w:val="24"/>
                      <w:szCs w:val="24"/>
                    </w:rPr>
                  </w:pPr>
                  <w:r w:rsidRPr="003744EA">
                    <w:rPr>
                      <w:rFonts w:ascii="Helvetica" w:eastAsia="Times New Roman" w:hAnsi="Helvetica" w:cs="Helvetica"/>
                      <w:b/>
                      <w:bCs/>
                      <w:color w:val="202020"/>
                      <w:sz w:val="21"/>
                      <w:szCs w:val="21"/>
                    </w:rPr>
                    <w:t>Last Call for Feedback on the Nonclinical Protocol Template!</w:t>
                  </w:r>
                  <w:r w:rsidRPr="003744EA">
                    <w:rPr>
                      <w:rFonts w:ascii="Helvetica" w:eastAsia="Times New Roman" w:hAnsi="Helvetica" w:cs="Helvetica"/>
                      <w:color w:val="202020"/>
                      <w:sz w:val="21"/>
                      <w:szCs w:val="21"/>
                    </w:rPr>
                    <w:br/>
                    <w:t>Last month, we released a draft of the </w:t>
                  </w:r>
                  <w:r w:rsidRPr="003744EA">
                    <w:rPr>
                      <w:rFonts w:ascii="Helvetica" w:eastAsia="Times New Roman" w:hAnsi="Helvetica" w:cs="Helvetica"/>
                      <w:i/>
                      <w:iCs/>
                      <w:color w:val="202020"/>
                      <w:sz w:val="21"/>
                      <w:szCs w:val="21"/>
                    </w:rPr>
                    <w:t>Nonclinical Protocol Template for</w:t>
                  </w:r>
                  <w:r w:rsidRPr="003744EA">
                    <w:rPr>
                      <w:rFonts w:ascii="Helvetica" w:eastAsia="Times New Roman" w:hAnsi="Helvetica" w:cs="Helvetica"/>
                      <w:color w:val="202020"/>
                      <w:sz w:val="21"/>
                      <w:szCs w:val="21"/>
                    </w:rPr>
                    <w:t> </w:t>
                  </w:r>
                  <w:r w:rsidRPr="003744EA">
                    <w:rPr>
                      <w:rFonts w:ascii="Helvetica" w:eastAsia="Times New Roman" w:hAnsi="Helvetica" w:cs="Helvetica"/>
                      <w:i/>
                      <w:iCs/>
                      <w:color w:val="202020"/>
                      <w:sz w:val="21"/>
                      <w:szCs w:val="21"/>
                    </w:rPr>
                    <w:t>Repeat-Dose Toxicology Studies (version 0.1)</w:t>
                  </w:r>
                  <w:r w:rsidRPr="003744EA">
                    <w:rPr>
                      <w:rFonts w:ascii="Helvetica" w:eastAsia="Times New Roman" w:hAnsi="Helvetica" w:cs="Helvetica"/>
                      <w:color w:val="202020"/>
                      <w:sz w:val="21"/>
                      <w:szCs w:val="21"/>
                    </w:rPr>
                    <w:t>. The template is </w:t>
                  </w:r>
                  <w:hyperlink r:id="rId9" w:tgtFrame="_blank" w:history="1">
                    <w:r w:rsidRPr="003744EA">
                      <w:rPr>
                        <w:rFonts w:ascii="Helvetica" w:eastAsia="Times New Roman" w:hAnsi="Helvetica" w:cs="Helvetica"/>
                        <w:color w:val="2BAADF"/>
                        <w:sz w:val="21"/>
                        <w:szCs w:val="21"/>
                        <w:u w:val="single"/>
                      </w:rPr>
                      <w:t>now available online</w:t>
                    </w:r>
                  </w:hyperlink>
                  <w:r w:rsidRPr="003744EA">
                    <w:rPr>
                      <w:rFonts w:ascii="Helvetica" w:eastAsia="Times New Roman" w:hAnsi="Helvetica" w:cs="Helvetica"/>
                      <w:color w:val="202020"/>
                      <w:sz w:val="21"/>
                      <w:szCs w:val="21"/>
                    </w:rPr>
                    <w:t> for public comment through May 15. You and your colleagues may submit your feedback using either an online form or by downloading an Excel-based template. We value your input!</w:t>
                  </w:r>
                  <w:r w:rsidRPr="003744EA">
                    <w:rPr>
                      <w:rFonts w:ascii="Helvetica" w:eastAsia="Times New Roman" w:hAnsi="Helvetica" w:cs="Helvetica"/>
                      <w:color w:val="202020"/>
                      <w:sz w:val="24"/>
                      <w:szCs w:val="24"/>
                    </w:rPr>
                    <w:br/>
                  </w:r>
                  <w:r w:rsidRPr="003744EA">
                    <w:rPr>
                      <w:rFonts w:ascii="Helvetica" w:eastAsia="Times New Roman" w:hAnsi="Helvetica" w:cs="Helvetica"/>
                      <w:color w:val="202020"/>
                      <w:sz w:val="24"/>
                      <w:szCs w:val="24"/>
                    </w:rPr>
                    <w:br/>
                  </w:r>
                  <w:r w:rsidRPr="003744EA">
                    <w:rPr>
                      <w:rFonts w:ascii="Helvetica" w:eastAsia="Times New Roman" w:hAnsi="Helvetica" w:cs="Helvetica"/>
                      <w:b/>
                      <w:bCs/>
                      <w:color w:val="000000"/>
                      <w:sz w:val="21"/>
                      <w:szCs w:val="21"/>
                    </w:rPr>
                    <w:t>Society of Toxicology Annual Meeting</w:t>
                  </w:r>
                  <w:r w:rsidRPr="003744EA">
                    <w:rPr>
                      <w:rFonts w:ascii="Helvetica" w:eastAsia="Times New Roman" w:hAnsi="Helvetica" w:cs="Helvetica"/>
                      <w:color w:val="202020"/>
                      <w:sz w:val="24"/>
                      <w:szCs w:val="24"/>
                    </w:rPr>
                    <w:br/>
                  </w:r>
                  <w:r w:rsidRPr="003744EA">
                    <w:rPr>
                      <w:rFonts w:ascii="Helvetica" w:eastAsia="Times New Roman" w:hAnsi="Helvetica" w:cs="Helvetica"/>
                      <w:color w:val="202020"/>
                      <w:sz w:val="21"/>
                      <w:szCs w:val="21"/>
                    </w:rPr>
                    <w:t>The BioCelerate team was present at the </w:t>
                  </w:r>
                  <w:r w:rsidRPr="003744EA">
                    <w:rPr>
                      <w:rFonts w:ascii="Helvetica" w:eastAsia="Times New Roman" w:hAnsi="Helvetica" w:cs="Helvetica"/>
                      <w:i/>
                      <w:iCs/>
                      <w:color w:val="202020"/>
                      <w:sz w:val="21"/>
                      <w:szCs w:val="21"/>
                    </w:rPr>
                    <w:t>Society of Toxicology Annual Meeting</w:t>
                  </w:r>
                  <w:r w:rsidRPr="003744EA">
                    <w:rPr>
                      <w:rFonts w:ascii="Helvetica" w:eastAsia="Times New Roman" w:hAnsi="Helvetica" w:cs="Helvetica"/>
                      <w:color w:val="202020"/>
                      <w:sz w:val="21"/>
                      <w:szCs w:val="21"/>
                    </w:rPr>
                    <w:t> in Baltimore in March. In addition to a poster presentation on the value of CDISC SEND harmonization, the team also hosted a public workshop to discuss enabling more effective cross-study analysis of SEND data sets. The FDA, CROs, and various software and service providers were among those in attendance. An event recap is </w:t>
                  </w:r>
                  <w:hyperlink r:id="rId10" w:tgtFrame="_blank" w:history="1">
                    <w:r w:rsidRPr="003744EA">
                      <w:rPr>
                        <w:rFonts w:ascii="Helvetica" w:eastAsia="Times New Roman" w:hAnsi="Helvetica" w:cs="Helvetica"/>
                        <w:color w:val="2BAADF"/>
                        <w:sz w:val="21"/>
                        <w:szCs w:val="21"/>
                        <w:u w:val="single"/>
                      </w:rPr>
                      <w:t>available </w:t>
                    </w:r>
                  </w:hyperlink>
                  <w:hyperlink r:id="rId11" w:history="1">
                    <w:r w:rsidRPr="003744EA">
                      <w:rPr>
                        <w:rFonts w:ascii="Helvetica" w:eastAsia="Times New Roman" w:hAnsi="Helvetica" w:cs="Helvetica"/>
                        <w:color w:val="2BAADF"/>
                        <w:sz w:val="21"/>
                        <w:szCs w:val="21"/>
                        <w:u w:val="single"/>
                      </w:rPr>
                      <w:t>here</w:t>
                    </w:r>
                  </w:hyperlink>
                  <w:r w:rsidRPr="003744EA">
                    <w:rPr>
                      <w:rFonts w:ascii="Helvetica" w:eastAsia="Times New Roman" w:hAnsi="Helvetica" w:cs="Helvetica"/>
                      <w:color w:val="202020"/>
                      <w:sz w:val="21"/>
                      <w:szCs w:val="21"/>
                    </w:rPr>
                    <w:t>.</w:t>
                  </w:r>
                  <w:r w:rsidRPr="003744EA">
                    <w:rPr>
                      <w:rFonts w:ascii="Helvetica" w:eastAsia="Times New Roman" w:hAnsi="Helvetica" w:cs="Helvetica"/>
                      <w:color w:val="202020"/>
                      <w:sz w:val="24"/>
                      <w:szCs w:val="24"/>
                    </w:rPr>
                    <w:br/>
                  </w:r>
                  <w:r w:rsidRPr="003744EA">
                    <w:rPr>
                      <w:rFonts w:ascii="Helvetica" w:eastAsia="Times New Roman" w:hAnsi="Helvetica" w:cs="Helvetica"/>
                      <w:color w:val="202020"/>
                      <w:sz w:val="24"/>
                      <w:szCs w:val="24"/>
                    </w:rPr>
                    <w:br/>
                  </w:r>
                  <w:r w:rsidRPr="003744EA">
                    <w:rPr>
                      <w:rFonts w:ascii="Helvetica" w:eastAsia="Times New Roman" w:hAnsi="Helvetica" w:cs="Helvetica"/>
                      <w:b/>
                      <w:bCs/>
                      <w:color w:val="202020"/>
                      <w:sz w:val="21"/>
                      <w:szCs w:val="21"/>
                    </w:rPr>
                    <w:t>Informational Webinars</w:t>
                  </w:r>
                  <w:r w:rsidRPr="003744EA">
                    <w:rPr>
                      <w:rFonts w:ascii="Helvetica" w:eastAsia="Times New Roman" w:hAnsi="Helvetica" w:cs="Helvetica"/>
                      <w:color w:val="202020"/>
                      <w:sz w:val="21"/>
                      <w:szCs w:val="21"/>
                    </w:rPr>
                    <w:br/>
                    <w:t>After launching our Nonclinical Protocol Template and SEND Harmonization workstreams in February, we hosted a series of webinars to provide an overview of the project's scope, discuss potential outcomes and address audience questions. Listen to the webinar recordings below:</w:t>
                  </w:r>
                </w:p>
                <w:p w14:paraId="7DDE87F7" w14:textId="77777777" w:rsidR="003744EA" w:rsidRPr="003744EA" w:rsidRDefault="003744EA" w:rsidP="003744EA">
                  <w:pPr>
                    <w:numPr>
                      <w:ilvl w:val="0"/>
                      <w:numId w:val="24"/>
                    </w:numPr>
                    <w:spacing w:after="100" w:afterAutospacing="1" w:line="300" w:lineRule="atLeast"/>
                    <w:rPr>
                      <w:rFonts w:ascii="Helvetica" w:eastAsia="Times New Roman" w:hAnsi="Helvetica" w:cs="Helvetica"/>
                      <w:color w:val="202020"/>
                      <w:sz w:val="24"/>
                      <w:szCs w:val="24"/>
                    </w:rPr>
                  </w:pPr>
                  <w:hyperlink r:id="rId12" w:history="1">
                    <w:r w:rsidRPr="003744EA">
                      <w:rPr>
                        <w:rFonts w:ascii="Helvetica" w:eastAsia="Times New Roman" w:hAnsi="Helvetica" w:cs="Helvetica"/>
                        <w:color w:val="2BAADF"/>
                        <w:sz w:val="21"/>
                        <w:szCs w:val="21"/>
                        <w:u w:val="single"/>
                      </w:rPr>
                      <w:t>Protocol Template Webinar</w:t>
                    </w:r>
                  </w:hyperlink>
                </w:p>
                <w:p w14:paraId="5D130737" w14:textId="77777777" w:rsidR="003744EA" w:rsidRPr="003744EA" w:rsidRDefault="003744EA" w:rsidP="003744EA">
                  <w:pPr>
                    <w:numPr>
                      <w:ilvl w:val="0"/>
                      <w:numId w:val="24"/>
                    </w:numPr>
                    <w:spacing w:after="100" w:afterAutospacing="1" w:line="300" w:lineRule="atLeast"/>
                    <w:rPr>
                      <w:rFonts w:ascii="Helvetica" w:eastAsia="Times New Roman" w:hAnsi="Helvetica" w:cs="Helvetica"/>
                      <w:color w:val="202020"/>
                      <w:sz w:val="24"/>
                      <w:szCs w:val="24"/>
                    </w:rPr>
                  </w:pPr>
                  <w:hyperlink r:id="rId13" w:history="1">
                    <w:r w:rsidRPr="003744EA">
                      <w:rPr>
                        <w:rFonts w:ascii="Helvetica" w:eastAsia="Times New Roman" w:hAnsi="Helvetica" w:cs="Helvetica"/>
                        <w:color w:val="2BAADF"/>
                        <w:sz w:val="21"/>
                        <w:szCs w:val="21"/>
                        <w:u w:val="single"/>
                      </w:rPr>
                      <w:t>SEND Harmonization Webinar</w:t>
                    </w:r>
                  </w:hyperlink>
                </w:p>
              </w:tc>
            </w:tr>
          </w:tbl>
          <w:p w14:paraId="6CCE1EC9" w14:textId="77777777" w:rsidR="003744EA" w:rsidRPr="003744EA" w:rsidRDefault="003744EA" w:rsidP="003744EA">
            <w:pPr>
              <w:rPr>
                <w:rFonts w:ascii="Times New Roman" w:eastAsia="Times New Roman" w:hAnsi="Times New Roman" w:cs="Times New Roman"/>
                <w:color w:val="000000"/>
                <w:sz w:val="27"/>
                <w:szCs w:val="27"/>
              </w:rPr>
            </w:pPr>
          </w:p>
        </w:tc>
      </w:tr>
    </w:tbl>
    <w:p w14:paraId="5A8F01E3" w14:textId="77777777" w:rsidR="003744EA" w:rsidRPr="003744EA" w:rsidRDefault="003744EA" w:rsidP="003744EA">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3744EA" w:rsidRPr="003744EA" w14:paraId="66F832EC" w14:textId="77777777" w:rsidTr="003744E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744EA" w:rsidRPr="003744EA" w14:paraId="5DE9C791" w14:textId="77777777">
              <w:tc>
                <w:tcPr>
                  <w:tcW w:w="0" w:type="auto"/>
                  <w:tcMar>
                    <w:top w:w="0" w:type="dxa"/>
                    <w:left w:w="270" w:type="dxa"/>
                    <w:bottom w:w="135" w:type="dxa"/>
                    <w:right w:w="270" w:type="dxa"/>
                  </w:tcMar>
                  <w:hideMark/>
                </w:tcPr>
                <w:p w14:paraId="3B4840C6" w14:textId="77777777" w:rsidR="003744EA" w:rsidRPr="003744EA" w:rsidRDefault="003744EA" w:rsidP="003744EA">
                  <w:pPr>
                    <w:rPr>
                      <w:rFonts w:ascii="Helvetica" w:eastAsia="Times New Roman" w:hAnsi="Helvetica" w:cs="Helvetica"/>
                      <w:color w:val="202020"/>
                      <w:sz w:val="24"/>
                      <w:szCs w:val="24"/>
                    </w:rPr>
                  </w:pPr>
                  <w:r w:rsidRPr="003744EA">
                    <w:rPr>
                      <w:rFonts w:ascii="Helvetica" w:eastAsia="Times New Roman" w:hAnsi="Helvetica" w:cs="Helvetica"/>
                      <w:b/>
                      <w:bCs/>
                      <w:color w:val="FF8C00"/>
                      <w:sz w:val="24"/>
                      <w:szCs w:val="24"/>
                    </w:rPr>
                    <w:t>Upcoming Events</w:t>
                  </w:r>
                </w:p>
              </w:tc>
            </w:tr>
          </w:tbl>
          <w:p w14:paraId="6C99E522" w14:textId="77777777" w:rsidR="003744EA" w:rsidRPr="003744EA" w:rsidRDefault="003744EA" w:rsidP="003744EA">
            <w:pPr>
              <w:rPr>
                <w:rFonts w:ascii="Times New Roman" w:eastAsia="Times New Roman" w:hAnsi="Times New Roman" w:cs="Times New Roman"/>
                <w:color w:val="000000"/>
                <w:sz w:val="27"/>
                <w:szCs w:val="27"/>
              </w:rPr>
            </w:pPr>
          </w:p>
        </w:tc>
      </w:tr>
      <w:tr w:rsidR="003744EA" w:rsidRPr="003744EA" w14:paraId="31BE3F17" w14:textId="77777777" w:rsidTr="003744E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744EA" w:rsidRPr="003744EA" w14:paraId="24C76808" w14:textId="77777777">
              <w:tc>
                <w:tcPr>
                  <w:tcW w:w="0" w:type="auto"/>
                  <w:tcMar>
                    <w:top w:w="0" w:type="dxa"/>
                    <w:left w:w="270" w:type="dxa"/>
                    <w:bottom w:w="135" w:type="dxa"/>
                    <w:right w:w="270" w:type="dxa"/>
                  </w:tcMar>
                  <w:hideMark/>
                </w:tcPr>
                <w:p w14:paraId="0CF81843" w14:textId="77777777" w:rsidR="003744EA" w:rsidRPr="003744EA" w:rsidRDefault="003744EA" w:rsidP="003744EA">
                  <w:pPr>
                    <w:spacing w:line="300" w:lineRule="atLeast"/>
                    <w:rPr>
                      <w:rFonts w:ascii="Helvetica" w:eastAsia="Times New Roman" w:hAnsi="Helvetica" w:cs="Helvetica"/>
                      <w:color w:val="202020"/>
                      <w:sz w:val="24"/>
                      <w:szCs w:val="24"/>
                    </w:rPr>
                  </w:pPr>
                  <w:r w:rsidRPr="003744EA">
                    <w:rPr>
                      <w:rFonts w:ascii="Helvetica" w:eastAsia="Times New Roman" w:hAnsi="Helvetica" w:cs="Helvetica"/>
                      <w:color w:val="202020"/>
                      <w:sz w:val="21"/>
                      <w:szCs w:val="21"/>
                    </w:rPr>
                    <w:t>The BioCelerate SEND Harmonization team will be present at the </w:t>
                  </w:r>
                  <w:proofErr w:type="spellStart"/>
                  <w:r w:rsidRPr="003744EA">
                    <w:rPr>
                      <w:rFonts w:ascii="Helvetica" w:eastAsia="Times New Roman" w:hAnsi="Helvetica" w:cs="Helvetica"/>
                      <w:b/>
                      <w:bCs/>
                      <w:color w:val="202020"/>
                      <w:sz w:val="21"/>
                      <w:szCs w:val="21"/>
                    </w:rPr>
                    <w:t>PhUSE</w:t>
                  </w:r>
                  <w:proofErr w:type="spellEnd"/>
                  <w:r w:rsidRPr="003744EA">
                    <w:rPr>
                      <w:rFonts w:ascii="Helvetica" w:eastAsia="Times New Roman" w:hAnsi="Helvetica" w:cs="Helvetica"/>
                      <w:b/>
                      <w:bCs/>
                      <w:color w:val="202020"/>
                      <w:sz w:val="21"/>
                      <w:szCs w:val="21"/>
                    </w:rPr>
                    <w:t xml:space="preserve"> Computational Science Symposium</w:t>
                  </w:r>
                  <w:r w:rsidRPr="003744EA">
                    <w:rPr>
                      <w:rFonts w:ascii="Helvetica" w:eastAsia="Times New Roman" w:hAnsi="Helvetica" w:cs="Helvetica"/>
                      <w:color w:val="202020"/>
                      <w:sz w:val="21"/>
                      <w:szCs w:val="21"/>
                    </w:rPr>
                    <w:t> in Silver Spring, MD, June 9-11. We look forward to seeing and speaking to many of you there! </w:t>
                  </w:r>
                  <w:hyperlink r:id="rId14" w:tgtFrame="_blank" w:history="1">
                    <w:r w:rsidRPr="003744EA">
                      <w:rPr>
                        <w:rFonts w:ascii="Helvetica" w:eastAsia="Times New Roman" w:hAnsi="Helvetica" w:cs="Helvetica"/>
                        <w:color w:val="2BAADF"/>
                        <w:sz w:val="21"/>
                        <w:szCs w:val="21"/>
                        <w:u w:val="single"/>
                      </w:rPr>
                      <w:t>Learn more here.</w:t>
                    </w:r>
                  </w:hyperlink>
                  <w:r w:rsidRPr="003744EA">
                    <w:rPr>
                      <w:rFonts w:ascii="Helvetica" w:eastAsia="Times New Roman" w:hAnsi="Helvetica" w:cs="Helvetica"/>
                      <w:color w:val="202020"/>
                      <w:sz w:val="21"/>
                      <w:szCs w:val="21"/>
                    </w:rPr>
                    <w:br/>
                  </w:r>
                  <w:r w:rsidRPr="003744EA">
                    <w:rPr>
                      <w:rFonts w:ascii="Helvetica" w:eastAsia="Times New Roman" w:hAnsi="Helvetica" w:cs="Helvetica"/>
                      <w:color w:val="202020"/>
                      <w:sz w:val="21"/>
                      <w:szCs w:val="21"/>
                    </w:rPr>
                    <w:br/>
                    <w:t>BioCelerate will be co-presenting on a panel with JPMA during the </w:t>
                  </w:r>
                  <w:r w:rsidRPr="003744EA">
                    <w:rPr>
                      <w:rFonts w:ascii="Helvetica" w:eastAsia="Times New Roman" w:hAnsi="Helvetica" w:cs="Helvetica"/>
                      <w:b/>
                      <w:bCs/>
                      <w:color w:val="202020"/>
                      <w:sz w:val="21"/>
                      <w:szCs w:val="21"/>
                    </w:rPr>
                    <w:t>CDISC Japan Interchange</w:t>
                  </w:r>
                  <w:r w:rsidRPr="003744EA">
                    <w:rPr>
                      <w:rFonts w:ascii="Helvetica" w:eastAsia="Times New Roman" w:hAnsi="Helvetica" w:cs="Helvetica"/>
                      <w:color w:val="202020"/>
                      <w:sz w:val="21"/>
                      <w:szCs w:val="21"/>
                    </w:rPr>
                    <w:t> in Tokyo on July 12. The panel will explore BioCelerate and JPMA's plans with respect to the sharing of nonclinical CDISC SEND data sets. </w:t>
                  </w:r>
                  <w:hyperlink r:id="rId15" w:history="1">
                    <w:r w:rsidRPr="003744EA">
                      <w:rPr>
                        <w:rFonts w:ascii="Helvetica" w:eastAsia="Times New Roman" w:hAnsi="Helvetica" w:cs="Helvetica"/>
                        <w:color w:val="2BAADF"/>
                        <w:sz w:val="21"/>
                        <w:szCs w:val="21"/>
                        <w:u w:val="single"/>
                      </w:rPr>
                      <w:t>Learn more here.</w:t>
                    </w:r>
                  </w:hyperlink>
                </w:p>
              </w:tc>
            </w:tr>
          </w:tbl>
          <w:p w14:paraId="10EEBC66" w14:textId="77777777" w:rsidR="003744EA" w:rsidRPr="003744EA" w:rsidRDefault="003744EA" w:rsidP="003744EA">
            <w:pPr>
              <w:rPr>
                <w:rFonts w:ascii="Times New Roman" w:eastAsia="Times New Roman" w:hAnsi="Times New Roman" w:cs="Times New Roman"/>
                <w:color w:val="000000"/>
                <w:sz w:val="27"/>
                <w:szCs w:val="27"/>
              </w:rPr>
            </w:pPr>
          </w:p>
        </w:tc>
      </w:tr>
    </w:tbl>
    <w:p w14:paraId="6A872B5F" w14:textId="77777777" w:rsidR="003744EA" w:rsidRPr="003744EA" w:rsidRDefault="003744EA" w:rsidP="003744EA">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3744EA" w:rsidRPr="003744EA" w14:paraId="59E40CB3" w14:textId="77777777" w:rsidTr="003744EA">
        <w:trPr>
          <w:trHeight w:val="20"/>
        </w:trPr>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744EA" w:rsidRPr="003744EA" w14:paraId="00176CB6" w14:textId="77777777">
              <w:tc>
                <w:tcPr>
                  <w:tcW w:w="0" w:type="auto"/>
                  <w:tcMar>
                    <w:top w:w="0" w:type="dxa"/>
                    <w:left w:w="270" w:type="dxa"/>
                    <w:bottom w:w="135" w:type="dxa"/>
                    <w:right w:w="270" w:type="dxa"/>
                  </w:tcMar>
                  <w:hideMark/>
                </w:tcPr>
                <w:p w14:paraId="5E97C96E" w14:textId="77777777" w:rsidR="003744EA" w:rsidRPr="003744EA" w:rsidRDefault="003744EA" w:rsidP="003744EA">
                  <w:pPr>
                    <w:spacing w:line="240" w:lineRule="atLeast"/>
                    <w:rPr>
                      <w:rFonts w:ascii="Helvetica" w:eastAsia="Times New Roman" w:hAnsi="Helvetica" w:cs="Helvetica"/>
                      <w:color w:val="202020"/>
                      <w:sz w:val="24"/>
                      <w:szCs w:val="24"/>
                    </w:rPr>
                  </w:pPr>
                  <w:r w:rsidRPr="003744EA">
                    <w:rPr>
                      <w:rFonts w:ascii="Helvetica" w:eastAsia="Times New Roman" w:hAnsi="Helvetica" w:cs="Helvetica"/>
                      <w:b/>
                      <w:bCs/>
                      <w:color w:val="FF8C00"/>
                      <w:sz w:val="24"/>
                      <w:szCs w:val="24"/>
                    </w:rPr>
                    <w:lastRenderedPageBreak/>
                    <w:t>Want to Learn More about BioCelerate?</w:t>
                  </w:r>
                </w:p>
              </w:tc>
            </w:tr>
          </w:tbl>
          <w:p w14:paraId="1DB23D3D" w14:textId="77777777" w:rsidR="003744EA" w:rsidRPr="003744EA" w:rsidRDefault="003744EA" w:rsidP="003744EA">
            <w:pPr>
              <w:rPr>
                <w:rFonts w:ascii="Times New Roman" w:eastAsia="Times New Roman" w:hAnsi="Times New Roman" w:cs="Times New Roman"/>
                <w:color w:val="000000"/>
                <w:sz w:val="27"/>
                <w:szCs w:val="27"/>
              </w:rPr>
            </w:pPr>
          </w:p>
        </w:tc>
      </w:tr>
      <w:tr w:rsidR="003744EA" w:rsidRPr="003744EA" w14:paraId="165B7101" w14:textId="77777777" w:rsidTr="003744E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744EA" w:rsidRPr="003744EA" w14:paraId="5B874F87" w14:textId="77777777">
              <w:tc>
                <w:tcPr>
                  <w:tcW w:w="0" w:type="auto"/>
                  <w:tcMar>
                    <w:top w:w="0" w:type="dxa"/>
                    <w:left w:w="270" w:type="dxa"/>
                    <w:bottom w:w="135" w:type="dxa"/>
                    <w:right w:w="270" w:type="dxa"/>
                  </w:tcMar>
                  <w:hideMark/>
                </w:tcPr>
                <w:p w14:paraId="70F3B118" w14:textId="77777777" w:rsidR="003744EA" w:rsidRDefault="003744EA" w:rsidP="003744EA">
                  <w:pPr>
                    <w:spacing w:line="300" w:lineRule="atLeast"/>
                    <w:rPr>
                      <w:rFonts w:ascii="Arial" w:eastAsia="Times New Roman" w:hAnsi="Arial" w:cs="Arial"/>
                      <w:color w:val="202020"/>
                      <w:sz w:val="21"/>
                      <w:szCs w:val="21"/>
                    </w:rPr>
                  </w:pPr>
                  <w:r w:rsidRPr="003744EA">
                    <w:rPr>
                      <w:rFonts w:ascii="Arial" w:eastAsia="Times New Roman" w:hAnsi="Arial" w:cs="Arial"/>
                      <w:color w:val="202020"/>
                      <w:sz w:val="21"/>
                      <w:szCs w:val="21"/>
                    </w:rPr>
                    <w:t>Newsletter subscribers will be notified with updates about new materials and events. In the meantime, visit our website and keep up with us on our LinkedIn and Twitter channels. You can also contact us at </w:t>
                  </w:r>
                  <w:hyperlink r:id="rId16" w:history="1">
                    <w:r w:rsidRPr="003744EA">
                      <w:rPr>
                        <w:rFonts w:ascii="Arial" w:eastAsia="Times New Roman" w:hAnsi="Arial" w:cs="Arial"/>
                        <w:color w:val="2BAADF"/>
                        <w:sz w:val="21"/>
                        <w:szCs w:val="21"/>
                        <w:u w:val="single"/>
                      </w:rPr>
                      <w:t>info@biocelerate.org</w:t>
                    </w:r>
                  </w:hyperlink>
                  <w:r w:rsidRPr="003744EA">
                    <w:rPr>
                      <w:rFonts w:ascii="Arial" w:eastAsia="Times New Roman" w:hAnsi="Arial" w:cs="Arial"/>
                      <w:color w:val="202020"/>
                      <w:sz w:val="21"/>
                      <w:szCs w:val="21"/>
                    </w:rPr>
                    <w:t>. </w:t>
                  </w:r>
                </w:p>
                <w:p w14:paraId="434224B7" w14:textId="1BFDC177" w:rsidR="003744EA" w:rsidRPr="003744EA" w:rsidRDefault="003744EA" w:rsidP="003744EA">
                  <w:pPr>
                    <w:spacing w:line="300" w:lineRule="atLeast"/>
                    <w:rPr>
                      <w:rFonts w:ascii="Helvetica" w:eastAsia="Times New Roman" w:hAnsi="Helvetica" w:cs="Helvetica"/>
                      <w:color w:val="202020"/>
                      <w:sz w:val="24"/>
                      <w:szCs w:val="24"/>
                    </w:rPr>
                  </w:pPr>
                </w:p>
              </w:tc>
            </w:tr>
          </w:tbl>
          <w:p w14:paraId="7102E015" w14:textId="77777777" w:rsidR="003744EA" w:rsidRPr="003744EA" w:rsidRDefault="003744EA" w:rsidP="003744EA">
            <w:pPr>
              <w:rPr>
                <w:rFonts w:ascii="Times New Roman" w:eastAsia="Times New Roman" w:hAnsi="Times New Roman" w:cs="Times New Roman"/>
                <w:color w:val="000000"/>
                <w:sz w:val="27"/>
                <w:szCs w:val="27"/>
              </w:rPr>
            </w:pPr>
          </w:p>
        </w:tc>
        <w:bookmarkStart w:id="0" w:name="_GoBack"/>
        <w:bookmarkEnd w:id="0"/>
      </w:tr>
    </w:tbl>
    <w:p w14:paraId="042D7526" w14:textId="19966F23" w:rsidR="00A9204E" w:rsidRDefault="00A9204E" w:rsidP="003744EA">
      <w:pPr>
        <w:jc w:val="center"/>
      </w:pPr>
    </w:p>
    <w:p w14:paraId="69E93EB2" w14:textId="34171E56" w:rsidR="003744EA" w:rsidRDefault="003744EA" w:rsidP="003744EA">
      <w:pPr>
        <w:jc w:val="center"/>
      </w:pPr>
    </w:p>
    <w:tbl>
      <w:tblPr>
        <w:tblW w:w="5000" w:type="pct"/>
        <w:tblCellMar>
          <w:left w:w="0" w:type="dxa"/>
          <w:right w:w="0" w:type="dxa"/>
        </w:tblCellMar>
        <w:tblLook w:val="04A0" w:firstRow="1" w:lastRow="0" w:firstColumn="1" w:lastColumn="0" w:noHBand="0" w:noVBand="1"/>
      </w:tblPr>
      <w:tblGrid>
        <w:gridCol w:w="9360"/>
      </w:tblGrid>
      <w:tr w:rsidR="003744EA" w:rsidRPr="003744EA" w14:paraId="3CA0413C" w14:textId="77777777" w:rsidTr="003744EA">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360"/>
            </w:tblGrid>
            <w:tr w:rsidR="003744EA" w:rsidRPr="003744EA" w14:paraId="1264A8D6"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9090"/>
                  </w:tblGrid>
                  <w:tr w:rsidR="003744EA" w:rsidRPr="003744EA" w14:paraId="41B556E3" w14:textId="77777777">
                    <w:trPr>
                      <w:jc w:val="center"/>
                    </w:trPr>
                    <w:tc>
                      <w:tcPr>
                        <w:tcW w:w="0" w:type="auto"/>
                        <w:tcMar>
                          <w:top w:w="0" w:type="dxa"/>
                          <w:left w:w="135" w:type="dxa"/>
                          <w:bottom w:w="0" w:type="dxa"/>
                          <w:right w:w="135" w:type="dxa"/>
                        </w:tcMar>
                        <w:vAlign w:val="center"/>
                        <w:hideMark/>
                      </w:tcPr>
                      <w:p w14:paraId="36284394" w14:textId="77777777" w:rsidR="003744EA" w:rsidRPr="003744EA" w:rsidRDefault="003744EA" w:rsidP="003744EA">
                        <w:pPr>
                          <w:rPr>
                            <w:rFonts w:ascii="Times New Roman" w:eastAsia="Times New Roman" w:hAnsi="Times New Roman" w:cs="Times New Roman"/>
                            <w:sz w:val="24"/>
                            <w:szCs w:val="24"/>
                          </w:rPr>
                        </w:pPr>
                      </w:p>
                    </w:tc>
                  </w:tr>
                </w:tbl>
                <w:p w14:paraId="64D31F4D" w14:textId="30657E0A" w:rsidR="003744EA" w:rsidRPr="003744EA" w:rsidRDefault="003744EA" w:rsidP="003744EA">
                  <w:pPr>
                    <w:jc w:val="center"/>
                    <w:rPr>
                      <w:rFonts w:ascii="Times New Roman" w:eastAsia="Times New Roman" w:hAnsi="Times New Roman" w:cs="Times New Roman"/>
                      <w:sz w:val="24"/>
                      <w:szCs w:val="24"/>
                    </w:rPr>
                  </w:pPr>
                  <w:r>
                    <w:rPr>
                      <w:noProof/>
                    </w:rPr>
                    <w:drawing>
                      <wp:inline distT="0" distB="0" distL="0" distR="0" wp14:anchorId="40A10A31" wp14:editId="7D10DB5B">
                        <wp:extent cx="26098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09850" cy="361950"/>
                                </a:xfrm>
                                <a:prstGeom prst="rect">
                                  <a:avLst/>
                                </a:prstGeom>
                              </pic:spPr>
                            </pic:pic>
                          </a:graphicData>
                        </a:graphic>
                      </wp:inline>
                    </w:drawing>
                  </w:r>
                </w:p>
              </w:tc>
            </w:tr>
          </w:tbl>
          <w:p w14:paraId="3AADE7BE" w14:textId="77777777" w:rsidR="003744EA" w:rsidRPr="003744EA" w:rsidRDefault="003744EA" w:rsidP="003744EA">
            <w:pPr>
              <w:rPr>
                <w:rFonts w:ascii="Times New Roman" w:eastAsia="Times New Roman" w:hAnsi="Times New Roman" w:cs="Times New Roman"/>
                <w:color w:val="000000"/>
                <w:sz w:val="27"/>
                <w:szCs w:val="27"/>
              </w:rPr>
            </w:pPr>
          </w:p>
        </w:tc>
      </w:tr>
      <w:tr w:rsidR="003744EA" w:rsidRPr="003744EA" w14:paraId="74233349" w14:textId="77777777" w:rsidTr="003744EA">
        <w:tc>
          <w:tcPr>
            <w:tcW w:w="0" w:type="auto"/>
            <w:hideMark/>
          </w:tcPr>
          <w:tbl>
            <w:tblPr>
              <w:tblW w:w="5000" w:type="pct"/>
              <w:jc w:val="center"/>
              <w:shd w:val="clear" w:color="auto" w:fill="FFFFFF"/>
              <w:tblCellMar>
                <w:left w:w="0" w:type="dxa"/>
                <w:bottom w:w="135" w:type="dxa"/>
                <w:right w:w="0" w:type="dxa"/>
              </w:tblCellMar>
              <w:tblLook w:val="04A0" w:firstRow="1" w:lastRow="0" w:firstColumn="1" w:lastColumn="0" w:noHBand="0" w:noVBand="1"/>
            </w:tblPr>
            <w:tblGrid>
              <w:gridCol w:w="9360"/>
            </w:tblGrid>
            <w:tr w:rsidR="003744EA" w:rsidRPr="003744EA" w14:paraId="58AF87D0" w14:textId="77777777">
              <w:trPr>
                <w:jc w:val="center"/>
              </w:trPr>
              <w:tc>
                <w:tcPr>
                  <w:tcW w:w="0" w:type="auto"/>
                  <w:shd w:val="clear" w:color="auto" w:fill="FFFFFF"/>
                  <w:hideMark/>
                </w:tcPr>
                <w:tbl>
                  <w:tblPr>
                    <w:tblpPr w:leftFromText="45" w:rightFromText="45" w:vertAnchor="text"/>
                    <w:tblW w:w="6000" w:type="dxa"/>
                    <w:shd w:val="clear" w:color="auto" w:fill="FFFFFF"/>
                    <w:tblCellMar>
                      <w:left w:w="0" w:type="dxa"/>
                      <w:bottom w:w="135" w:type="dxa"/>
                      <w:right w:w="0" w:type="dxa"/>
                    </w:tblCellMar>
                    <w:tblLook w:val="04A0" w:firstRow="1" w:lastRow="0" w:firstColumn="1" w:lastColumn="0" w:noHBand="0" w:noVBand="1"/>
                  </w:tblPr>
                  <w:tblGrid>
                    <w:gridCol w:w="6000"/>
                  </w:tblGrid>
                  <w:tr w:rsidR="003744EA" w:rsidRPr="003744EA" w14:paraId="1894E57A" w14:textId="77777777">
                    <w:tc>
                      <w:tcPr>
                        <w:tcW w:w="0" w:type="auto"/>
                        <w:shd w:val="clear" w:color="auto" w:fill="FFFFFF"/>
                        <w:vAlign w:val="center"/>
                        <w:hideMark/>
                      </w:tcPr>
                      <w:p w14:paraId="6AF37323" w14:textId="77777777" w:rsidR="003744EA" w:rsidRPr="003744EA" w:rsidRDefault="003744EA" w:rsidP="003744EA">
                        <w:pPr>
                          <w:rPr>
                            <w:rFonts w:ascii="Times New Roman" w:eastAsia="Times New Roman" w:hAnsi="Times New Roman" w:cs="Times New Roman"/>
                            <w:sz w:val="20"/>
                            <w:szCs w:val="20"/>
                          </w:rPr>
                        </w:pPr>
                      </w:p>
                    </w:tc>
                  </w:tr>
                </w:tbl>
                <w:p w14:paraId="23343231" w14:textId="77777777" w:rsidR="003744EA" w:rsidRPr="003744EA" w:rsidRDefault="003744EA" w:rsidP="003744EA">
                  <w:pPr>
                    <w:rPr>
                      <w:rFonts w:ascii="Times New Roman" w:eastAsia="Times New Roman" w:hAnsi="Times New Roman" w:cs="Times New Roman"/>
                      <w:vanish/>
                      <w:sz w:val="24"/>
                      <w:szCs w:val="24"/>
                    </w:rPr>
                  </w:pPr>
                </w:p>
                <w:tbl>
                  <w:tblPr>
                    <w:tblpPr w:leftFromText="45" w:rightFromText="45" w:vertAnchor="text"/>
                    <w:tblW w:w="3000" w:type="dxa"/>
                    <w:shd w:val="clear" w:color="auto" w:fill="FFFFFF"/>
                    <w:tblCellMar>
                      <w:left w:w="0" w:type="dxa"/>
                      <w:bottom w:w="135" w:type="dxa"/>
                      <w:right w:w="0" w:type="dxa"/>
                    </w:tblCellMar>
                    <w:tblLook w:val="04A0" w:firstRow="1" w:lastRow="0" w:firstColumn="1" w:lastColumn="0" w:noHBand="0" w:noVBand="1"/>
                  </w:tblPr>
                  <w:tblGrid>
                    <w:gridCol w:w="3000"/>
                  </w:tblGrid>
                  <w:tr w:rsidR="003744EA" w:rsidRPr="003744EA" w14:paraId="6AE01D2C" w14:textId="77777777">
                    <w:tc>
                      <w:tcPr>
                        <w:tcW w:w="0" w:type="auto"/>
                        <w:shd w:val="clear" w:color="auto" w:fill="FFFFFF"/>
                        <w:hideMark/>
                      </w:tcPr>
                      <w:p w14:paraId="24765679" w14:textId="77777777" w:rsidR="003744EA" w:rsidRPr="003744EA" w:rsidRDefault="003744EA" w:rsidP="003744EA">
                        <w:pPr>
                          <w:rPr>
                            <w:rFonts w:ascii="Times New Roman" w:eastAsia="Times New Roman" w:hAnsi="Times New Roman" w:cs="Times New Roman"/>
                            <w:sz w:val="24"/>
                            <w:szCs w:val="24"/>
                          </w:rPr>
                        </w:pPr>
                      </w:p>
                    </w:tc>
                  </w:tr>
                </w:tbl>
                <w:p w14:paraId="32CC0A2F" w14:textId="77777777" w:rsidR="003744EA" w:rsidRPr="003744EA" w:rsidRDefault="003744EA" w:rsidP="003744EA">
                  <w:pPr>
                    <w:rPr>
                      <w:rFonts w:ascii="Times New Roman" w:eastAsia="Times New Roman" w:hAnsi="Times New Roman" w:cs="Times New Roman"/>
                      <w:sz w:val="24"/>
                      <w:szCs w:val="24"/>
                    </w:rPr>
                  </w:pPr>
                </w:p>
              </w:tc>
            </w:tr>
          </w:tbl>
          <w:p w14:paraId="60FA0F20" w14:textId="77777777" w:rsidR="003744EA" w:rsidRPr="003744EA" w:rsidRDefault="003744EA" w:rsidP="003744EA">
            <w:pPr>
              <w:rPr>
                <w:rFonts w:ascii="Times New Roman" w:eastAsia="Times New Roman" w:hAnsi="Times New Roman" w:cs="Times New Roman"/>
                <w:color w:val="000000"/>
                <w:sz w:val="27"/>
                <w:szCs w:val="27"/>
              </w:rPr>
            </w:pPr>
          </w:p>
        </w:tc>
      </w:tr>
      <w:tr w:rsidR="003744EA" w:rsidRPr="003744EA" w14:paraId="2FF8D32A" w14:textId="77777777" w:rsidTr="003744EA">
        <w:tc>
          <w:tcPr>
            <w:tcW w:w="0" w:type="auto"/>
            <w:tcBorders>
              <w:top w:val="single" w:sz="12" w:space="0" w:color="EAEAEA"/>
              <w:bottom w:val="nil"/>
            </w:tcBorders>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3744EA" w:rsidRPr="003744EA" w14:paraId="472056F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744EA" w:rsidRPr="003744EA" w14:paraId="38B3B22A" w14:textId="77777777">
                    <w:tc>
                      <w:tcPr>
                        <w:tcW w:w="0" w:type="auto"/>
                        <w:tcMar>
                          <w:top w:w="0" w:type="dxa"/>
                          <w:left w:w="270" w:type="dxa"/>
                          <w:bottom w:w="135" w:type="dxa"/>
                          <w:right w:w="270" w:type="dxa"/>
                        </w:tcMar>
                        <w:hideMark/>
                      </w:tcPr>
                      <w:p w14:paraId="0573709C" w14:textId="77777777" w:rsidR="003744EA" w:rsidRPr="003744EA" w:rsidRDefault="003744EA" w:rsidP="003744EA">
                        <w:pPr>
                          <w:spacing w:line="180" w:lineRule="atLeast"/>
                          <w:jc w:val="center"/>
                          <w:rPr>
                            <w:rFonts w:ascii="Helvetica" w:eastAsia="Times New Roman" w:hAnsi="Helvetica" w:cs="Helvetica"/>
                            <w:color w:val="656565"/>
                            <w:sz w:val="18"/>
                            <w:szCs w:val="18"/>
                          </w:rPr>
                        </w:pPr>
                        <w:r w:rsidRPr="003744EA">
                          <w:rPr>
                            <w:rFonts w:ascii="Helvetica" w:eastAsia="Times New Roman" w:hAnsi="Helvetica" w:cs="Helvetica"/>
                            <w:i/>
                            <w:iCs/>
                            <w:color w:val="656565"/>
                            <w:sz w:val="18"/>
                            <w:szCs w:val="18"/>
                          </w:rPr>
                          <w:t>Copyright © 2019 BioCelerate., All rights reserved.</w:t>
                        </w:r>
                      </w:p>
                    </w:tc>
                  </w:tr>
                </w:tbl>
                <w:p w14:paraId="60C6D683" w14:textId="77777777" w:rsidR="003744EA" w:rsidRPr="003744EA" w:rsidRDefault="003744EA" w:rsidP="003744EA">
                  <w:pPr>
                    <w:rPr>
                      <w:rFonts w:ascii="Times New Roman" w:eastAsia="Times New Roman" w:hAnsi="Times New Roman" w:cs="Times New Roman"/>
                      <w:sz w:val="24"/>
                      <w:szCs w:val="24"/>
                    </w:rPr>
                  </w:pPr>
                </w:p>
              </w:tc>
            </w:tr>
          </w:tbl>
          <w:p w14:paraId="3EB48FAE" w14:textId="77777777" w:rsidR="003744EA" w:rsidRPr="003744EA" w:rsidRDefault="003744EA" w:rsidP="003744EA">
            <w:pPr>
              <w:rPr>
                <w:rFonts w:ascii="Times New Roman" w:eastAsia="Times New Roman" w:hAnsi="Times New Roman" w:cs="Times New Roman"/>
                <w:color w:val="000000"/>
                <w:sz w:val="27"/>
                <w:szCs w:val="27"/>
              </w:rPr>
            </w:pPr>
          </w:p>
        </w:tc>
      </w:tr>
    </w:tbl>
    <w:p w14:paraId="75F3A3C1" w14:textId="77777777" w:rsidR="003744EA" w:rsidRPr="003744EA" w:rsidRDefault="003744EA" w:rsidP="003744EA">
      <w:pPr>
        <w:jc w:val="center"/>
      </w:pPr>
    </w:p>
    <w:sectPr w:rsidR="003744EA" w:rsidRPr="003744EA" w:rsidSect="00374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0234DA3"/>
    <w:multiLevelType w:val="multilevel"/>
    <w:tmpl w:val="74B0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08A"/>
    <w:rsid w:val="00201AAE"/>
    <w:rsid w:val="003744EA"/>
    <w:rsid w:val="00645252"/>
    <w:rsid w:val="006D3D74"/>
    <w:rsid w:val="0083569A"/>
    <w:rsid w:val="009C508A"/>
    <w:rsid w:val="00A9204E"/>
    <w:rsid w:val="00EE0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087FBBD"/>
  <w15:chartTrackingRefBased/>
  <w15:docId w15:val="{A9433779-46E1-4872-93C6-E3E0B742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363402">
      <w:bodyDiv w:val="1"/>
      <w:marLeft w:val="0"/>
      <w:marRight w:val="0"/>
      <w:marTop w:val="0"/>
      <w:marBottom w:val="0"/>
      <w:divBdr>
        <w:top w:val="none" w:sz="0" w:space="0" w:color="auto"/>
        <w:left w:val="none" w:sz="0" w:space="0" w:color="auto"/>
        <w:bottom w:val="none" w:sz="0" w:space="0" w:color="auto"/>
        <w:right w:val="none" w:sz="0" w:space="0" w:color="auto"/>
      </w:divBdr>
    </w:div>
    <w:div w:id="556169343">
      <w:bodyDiv w:val="1"/>
      <w:marLeft w:val="0"/>
      <w:marRight w:val="0"/>
      <w:marTop w:val="0"/>
      <w:marBottom w:val="0"/>
      <w:divBdr>
        <w:top w:val="none" w:sz="0" w:space="0" w:color="auto"/>
        <w:left w:val="none" w:sz="0" w:space="0" w:color="auto"/>
        <w:bottom w:val="none" w:sz="0" w:space="0" w:color="auto"/>
        <w:right w:val="none" w:sz="0" w:space="0" w:color="auto"/>
      </w:divBdr>
    </w:div>
    <w:div w:id="1203135177">
      <w:bodyDiv w:val="1"/>
      <w:marLeft w:val="0"/>
      <w:marRight w:val="0"/>
      <w:marTop w:val="0"/>
      <w:marBottom w:val="0"/>
      <w:divBdr>
        <w:top w:val="none" w:sz="0" w:space="0" w:color="auto"/>
        <w:left w:val="none" w:sz="0" w:space="0" w:color="auto"/>
        <w:bottom w:val="none" w:sz="0" w:space="0" w:color="auto"/>
        <w:right w:val="none" w:sz="0" w:space="0" w:color="auto"/>
      </w:divBdr>
    </w:div>
    <w:div w:id="151036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nect.eventtia.com/en/dmz/a08d/websit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nnect.eventtia.com/en/dmz/8717/website"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info@biocelerat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ansceleratebiopharmainc.com/biocelerate/send-implementation-cross-study-analysis/" TargetMode="External"/><Relationship Id="rId5" Type="http://schemas.openxmlformats.org/officeDocument/2006/relationships/styles" Target="styles.xml"/><Relationship Id="rId15" Type="http://schemas.openxmlformats.org/officeDocument/2006/relationships/hyperlink" Target="https://www.cdisc.org/events/interchange/2019-cdisc-japan-interchange/program" TargetMode="External"/><Relationship Id="rId10" Type="http://schemas.openxmlformats.org/officeDocument/2006/relationships/hyperlink" Target="https://www.transceleratebiopharmainc.com/biocelerate/send-implementation-cross-study-analysi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transceleratebiopharmainc.com/biocelerate/nonclinical-protocol-template-feedback-form/" TargetMode="External"/><Relationship Id="rId14" Type="http://schemas.openxmlformats.org/officeDocument/2006/relationships/hyperlink" Target="https://www.phuse.eu/css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i\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5</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 Patel</dc:creator>
  <cp:keywords/>
  <dc:description/>
  <cp:lastModifiedBy>Arti Patel</cp:lastModifiedBy>
  <cp:revision>3</cp:revision>
  <dcterms:created xsi:type="dcterms:W3CDTF">2019-07-26T21:22:00Z</dcterms:created>
  <dcterms:modified xsi:type="dcterms:W3CDTF">2019-07-26T21:27:00Z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